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52" w:rsidRDefault="00D94F52" w:rsidP="00D94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ДОКУМЕНТЫ</w:t>
      </w:r>
    </w:p>
    <w:p w:rsidR="00D94F52" w:rsidRDefault="00D94F52" w:rsidP="00D94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ПРЕДОСТАВЛЯЕМОМУ ОБЕСПЕЧЕНИЮ ЗАЙМА</w:t>
      </w:r>
    </w:p>
    <w:p w:rsidR="00D94F52" w:rsidRDefault="00D94F52" w:rsidP="00D94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4F52" w:rsidRDefault="00D94F52" w:rsidP="00D94F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поручителя - юридического лица, являющегося залогодателем</w:t>
      </w:r>
    </w:p>
    <w:p w:rsidR="00D94F52" w:rsidRDefault="00D94F52" w:rsidP="00D94F5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4875"/>
        <w:gridCol w:w="4662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Учредительные документы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решение (протокол) о создании (учреждении) юридического лица, устав и/или учредительный договор (при его наличии)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</w:tc>
        <w:tc>
          <w:tcPr>
            <w:tcW w:w="465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Решение (протокол)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(не требуется, если учредитель и единоличный исполнительный орган являются одним лицом).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Возможно представление после одобрения предоставления займа.</w:t>
            </w:r>
          </w:p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свободной форме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</w:tr>
      <w:tr w:rsidR="00D94F52" w:rsidTr="000851FC">
        <w:trPr>
          <w:trHeight w:val="374"/>
          <w:jc w:val="center"/>
        </w:trPr>
        <w:tc>
          <w:tcPr>
            <w:tcW w:w="1005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руководителя юридического лица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</w:t>
            </w:r>
            <w:r w:rsidRPr="005754B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имеющие отметки 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 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бенефициарного</w:t>
            </w:r>
            <w:proofErr w:type="spellEnd"/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владельца юридического лица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физического лица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имеющие отметки</w:t>
            </w:r>
          </w:p>
        </w:tc>
        <w:tc>
          <w:tcPr>
            <w:tcW w:w="465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465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hyperlink r:id="rId7" w:tooltip="https://service.nalog.ru/inn.do" w:history="1">
              <w:r>
                <w:rPr>
                  <w:rStyle w:val="a5"/>
                  <w:rFonts w:ascii="Times New Roman" w:eastAsia="TimesNewRomanPSMT" w:hAnsi="Times New Roman" w:cs="Times New Roman"/>
                  <w:sz w:val="20"/>
                  <w:szCs w:val="20"/>
                </w:rPr>
                <w:t>https://service.nalog.ru/inn.do</w:t>
              </w:r>
            </w:hyperlink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содержащая сведения об ИНН</w:t>
            </w:r>
          </w:p>
        </w:tc>
        <w:tc>
          <w:tcPr>
            <w:tcW w:w="465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№6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юридического лица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Документы, указанные в пунктах 1.2, 1.3 раздела 1 Приложения 1 к настоящим Правилам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Список участников юридического лица/выписка из реестра акционеров, актуальная на дату обращения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Протокол (решение)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согласии на совершение сделки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лицом).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48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Согласие на предоставление и получение информации в/из бюро кредитных историй организации,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владельца</w:t>
            </w:r>
          </w:p>
        </w:tc>
        <w:tc>
          <w:tcPr>
            <w:tcW w:w="46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</w:tbl>
    <w:p w:rsidR="00D94F52" w:rsidRDefault="00D94F52" w:rsidP="00D94F52">
      <w:pPr>
        <w:spacing w:after="0" w:line="240" w:lineRule="auto"/>
        <w:rPr>
          <w:rFonts w:ascii="Times New Roman" w:hAnsi="Times New Roman" w:cs="Times New Roman"/>
        </w:rPr>
      </w:pPr>
    </w:p>
    <w:p w:rsidR="00D94F52" w:rsidRDefault="00D94F52" w:rsidP="00D94F52">
      <w:pPr>
        <w:spacing w:after="0" w:line="240" w:lineRule="auto"/>
        <w:rPr>
          <w:rFonts w:ascii="Times New Roman" w:hAnsi="Times New Roman" w:cs="Times New Roman"/>
        </w:rPr>
      </w:pP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Для поручителя - индивидуального предпринимателя, являющегося залогодателем</w:t>
      </w: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4701"/>
        <w:gridCol w:w="4582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5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13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имеющие отметки</w:t>
            </w:r>
          </w:p>
        </w:tc>
        <w:tc>
          <w:tcPr>
            <w:tcW w:w="458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493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458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ЕГРИП для физических лиц</w:t>
            </w:r>
          </w:p>
        </w:tc>
        <w:tc>
          <w:tcPr>
            <w:tcW w:w="458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458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hyperlink r:id="rId8" w:tooltip="https://service.nalog.ru/inn.do" w:history="1">
              <w:r>
                <w:rPr>
                  <w:rStyle w:val="a5"/>
                  <w:rFonts w:ascii="Times New Roman" w:eastAsia="TimesNewRomanPSMT" w:hAnsi="Times New Roman" w:cs="Times New Roman"/>
                  <w:sz w:val="20"/>
                  <w:szCs w:val="20"/>
                </w:rPr>
                <w:t>https://service.nalog.ru/inn.do</w:t>
              </w:r>
            </w:hyperlink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содержащая сведения об ИНН</w:t>
            </w:r>
          </w:p>
        </w:tc>
        <w:tc>
          <w:tcPr>
            <w:tcW w:w="458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458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458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45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№6</w:t>
            </w:r>
          </w:p>
        </w:tc>
      </w:tr>
      <w:tr w:rsidR="00D94F52" w:rsidTr="000851FC">
        <w:trPr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4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свободной форме</w:t>
            </w:r>
          </w:p>
        </w:tc>
        <w:tc>
          <w:tcPr>
            <w:tcW w:w="45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</w:tr>
    </w:tbl>
    <w:p w:rsidR="00D94F52" w:rsidRDefault="00D94F52" w:rsidP="00D94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F52" w:rsidRDefault="00D94F52" w:rsidP="00D94F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Для поручителя – физического лица, являющегося залогодателем</w:t>
      </w:r>
    </w:p>
    <w:p w:rsidR="00D94F52" w:rsidRDefault="00D94F52" w:rsidP="00D94F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4710"/>
        <w:gridCol w:w="4587"/>
      </w:tblGrid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имеющие отметки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и подписи владельца паспорта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458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 xml:space="preserve">лиц или распечатанная страница с сайта </w:t>
            </w:r>
            <w:r>
              <w:rPr>
                <w:rStyle w:val="a5"/>
                <w:rFonts w:ascii="Times New Roman" w:eastAsia="TimesNewRomanPSMT" w:hAnsi="Times New Roman" w:cs="Times New Roman"/>
                <w:sz w:val="20"/>
                <w:szCs w:val="20"/>
              </w:rPr>
              <w:t>https://service.nalog.ru/inn.do, содержащая сведения об ИНН</w:t>
            </w:r>
          </w:p>
        </w:tc>
        <w:tc>
          <w:tcPr>
            <w:tcW w:w="45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</w:t>
            </w:r>
          </w:p>
        </w:tc>
        <w:tc>
          <w:tcPr>
            <w:tcW w:w="45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45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№6</w:t>
            </w:r>
          </w:p>
        </w:tc>
      </w:tr>
    </w:tbl>
    <w:p w:rsidR="00D94F52" w:rsidRDefault="00D94F52" w:rsidP="00D94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4F52" w:rsidRDefault="00D94F52" w:rsidP="00D94F5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при залоге объектов недвижимого имущества</w:t>
      </w: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4908"/>
        <w:gridCol w:w="4749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государственной регистрации прав на недвижимое имущество (при наличии) и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Копия, заверенная залогодателем и оригинал для обозрения (выписка из Единого государственного реестра недвижимости на здание, помещение, земельный участок. предоставляется в день подачи заявления с комплектом документов, выданная не ранее 30 календарных дней до даты подачи заявления на предоставление займа 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Правоустанавливающие документы, указанные в свидетельстве о государственной регистрации права/выписке из Единого государственного реестра недвижимости в качестве документов-оснований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Документы, подтверждающие оплату в случае, если закладываемый объект недвижимости приобретался на основании договора купли-продажи или иной сделки, носящей возмездный характер </w:t>
            </w:r>
            <w:r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(представление такого документа не требуется, если со дня приобретения объекта недвижимости истекли сроки исковой давности, а также при наличии в договоре купли-продажи, либо ином договоре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приобретения объекта недвижимости указания на исполнение обязательств по оплате объекта недвижимости 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момент подписания договора).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Копия, заверенная залогодателем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Документы на земельный участок, занятый объектом недвижимости: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Договор купли-продажи, либо договор аренды, либо иные соглашения, подтверждающие права залогодателя на земельный участок.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БТИ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либо технический план, </w:t>
            </w: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иная техническая документация, содержащая характеристики объекта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Нотариально заверенные согласия всех собственников закладываемого имущества на передачу в залог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(если имущество находится в общей совместной собственности)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согласие супруга/супруги на совершение залоговой сделки либо документ, подтверждающий, что объект залога не находится в совместной собственности супругов.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(необходимо при регистрации сделки)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предоставляется в случае одобрения заявления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 от имени залогодателя обо всех известных ему к моменту государственной регистрации договора об ипотеке правах третьих лиц на предмет ипотеки (правах залога, пожизненного пользования, доверительного управления, аренды, сервитутах и других правах)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1027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залоге жилого помещения дополнительно представляются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государственной регистрации прав на недвижимое имущество (при наличии) и выписка из Единого государственного реестра недвижимости в отношении жилых помещений, являющихся для собственника и лиц, зарегистрированных в жилом помещении, предоставляемом в залог, вторым жильем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Копия, заверенная залогодателем и оригинал для обозрения (выписка из Единого государственного реестра недвижимости на здание, помещение, земельный участок. предоставляется в день подачи заявления с комплектом документов, выданная не ранее 30 календарных дней до даты подачи заявления на предоставление займа 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9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лицах, зарегистрированных в жилом помещении/домовая книга (копия) либо выписка из домовой книги, содержащая сведения о лицах, зарегистрированных в жилом помещении, выданная не позднее 30 календарный дней до обращения за займом</w:t>
            </w:r>
          </w:p>
        </w:tc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</w:tbl>
    <w:p w:rsidR="00D94F52" w:rsidRDefault="00D94F52" w:rsidP="00D94F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94F52" w:rsidRDefault="00D94F52" w:rsidP="00D94F5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на недвижимое имущество, </w:t>
      </w:r>
    </w:p>
    <w:p w:rsidR="00D94F52" w:rsidRDefault="00D94F52" w:rsidP="00D94F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приобретаемое за счет средств займа</w:t>
      </w: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4960"/>
        <w:gridCol w:w="4678"/>
      </w:tblGrid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9638" w:type="dxa"/>
            <w:gridSpan w:val="2"/>
            <w:shd w:val="clear" w:color="000000" w:fill="FFFFFF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 на недвижимое имущество, приобретаемое за счет средств займа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Договор-основание продажи реализуемого объекта недвижимости, подтверждающий его стоимость и предусматривающий порядок передачи прав собственности на реализуемый объект недвижимости (предварительный договор купли–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продажи; договор купли – продажи; договор купли–продажи с отсрочкой платежа и т.п.) с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указанием, что имущество приобретается за счет заемных средств, предоставляемых Фондом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Выписка из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(действительна в течение 1 месяца на дату предоставления документов)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282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5.1.3.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Правоустанавливающие документы, указанные в свидетельстве о государственной регистрации права/выписке из Единого государственного реестра недвижимости в качестве документов-оснований</w:t>
            </w:r>
          </w:p>
        </w:tc>
        <w:tc>
          <w:tcPr>
            <w:tcW w:w="467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5.1.4.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БТИ либо технический план, либо иная техническая документация, содержащая характеристики объекта</w:t>
            </w:r>
          </w:p>
        </w:tc>
        <w:tc>
          <w:tcPr>
            <w:tcW w:w="467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5.1.5.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Pr="005754B7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Подтверждение предоплаты в размере, не менее, указанного в пункте 3.3. настоящих Правил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документа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случае положительного решения по займу)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5.1.6.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(безвозмездного пользования), зарегистрированный в регистрационной службе в установленном порядке (при залоге здания, земельный участок под которым находится в аренде (собственник здания не является собственником земельного участка)</w:t>
            </w:r>
          </w:p>
        </w:tc>
        <w:tc>
          <w:tcPr>
            <w:tcW w:w="467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5.1.7.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паспорт на земельный участок (при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наличии)/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план территории/иной документ, содержащий план земельного участка (если выписка из ЕГРН не содержит план земельного участка)</w:t>
            </w:r>
          </w:p>
        </w:tc>
        <w:tc>
          <w:tcPr>
            <w:tcW w:w="467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9638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случае, если продавцом имущества является физическое лицо</w:t>
            </w:r>
          </w:p>
        </w:tc>
      </w:tr>
      <w:tr w:rsidR="00D94F52" w:rsidTr="000851FC">
        <w:trPr>
          <w:trHeight w:val="690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продавца, копия разворота с фотографией и местом регистрации</w:t>
            </w:r>
          </w:p>
        </w:tc>
        <w:tc>
          <w:tcPr>
            <w:tcW w:w="467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«Копия верна», подписи владельца паспорта </w:t>
            </w:r>
          </w:p>
        </w:tc>
      </w:tr>
      <w:tr w:rsidR="00D94F52" w:rsidTr="000851FC">
        <w:trPr>
          <w:trHeight w:val="690"/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согласие супруга/супруги продавца</w:t>
            </w:r>
          </w:p>
        </w:tc>
        <w:tc>
          <w:tcPr>
            <w:tcW w:w="467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jc w:val="center"/>
        </w:trPr>
        <w:tc>
          <w:tcPr>
            <w:tcW w:w="705" w:type="dxa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49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705" w:type="dxa"/>
            <w:vMerge w:val="restart"/>
            <w:shd w:val="clear" w:color="000000" w:fill="FFFFFF"/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5.3.</w:t>
            </w:r>
          </w:p>
        </w:tc>
        <w:tc>
          <w:tcPr>
            <w:tcW w:w="9638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случае, если продавцом имущества является юридическое лицо:</w:t>
            </w:r>
          </w:p>
        </w:tc>
      </w:tr>
      <w:tr w:rsidR="00D94F52" w:rsidTr="000851FC">
        <w:trPr>
          <w:trHeight w:val="2746"/>
          <w:jc w:val="center"/>
        </w:trPr>
        <w:tc>
          <w:tcPr>
            <w:tcW w:w="705" w:type="dxa"/>
            <w:vMerge/>
            <w:shd w:val="clear" w:color="000000" w:fill="FFFFFF"/>
          </w:tcPr>
          <w:p w:rsidR="00D94F52" w:rsidRDefault="00D94F52" w:rsidP="0008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 продавца со всеми имеющимися изменениями.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Решение (протокол)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</w:rPr>
              <w:t>(не требуется, если учредитель и единоличный исполнительный орган являются одним лицом).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</w:tc>
      </w:tr>
      <w:tr w:rsidR="00D94F52" w:rsidTr="000851FC">
        <w:trPr>
          <w:trHeight w:val="2576"/>
          <w:jc w:val="center"/>
        </w:trPr>
        <w:tc>
          <w:tcPr>
            <w:tcW w:w="705" w:type="dxa"/>
            <w:vMerge/>
            <w:shd w:val="clear" w:color="000000" w:fill="FFFFFF"/>
          </w:tcPr>
          <w:p w:rsidR="00D94F52" w:rsidRDefault="00D94F52" w:rsidP="0008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Протокол (решение)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согласии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на совершение сделки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  <w:lang w:eastAsia="ru-RU"/>
              </w:rPr>
              <w:t>(не требуется, если учредитель и единоличный исполнительный орган являются одним лицом).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принятие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о предоставлении займа.</w:t>
            </w:r>
          </w:p>
        </w:tc>
      </w:tr>
    </w:tbl>
    <w:p w:rsidR="00D94F52" w:rsidRDefault="00D94F52" w:rsidP="00D94F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4F52" w:rsidRDefault="00D94F52" w:rsidP="00D94F5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при залоге транспортных средств и самоходных машин</w:t>
      </w:r>
    </w:p>
    <w:p w:rsidR="00D94F52" w:rsidRDefault="00D94F52" w:rsidP="00D94F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4993"/>
        <w:gridCol w:w="4723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7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 транспортного средства (ПТС/ЭПТС) или паспорт самоходной машины (ПСМ/ЭПСМ)</w:t>
            </w:r>
          </w:p>
        </w:tc>
        <w:tc>
          <w:tcPr>
            <w:tcW w:w="4723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собственника транспортного средства или самоходной машины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4993" w:type="dxa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Правоустанавливающие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купли-продажи, мены, дарения, свидетельство о праве на наследство и т.д.)  </w:t>
            </w:r>
          </w:p>
        </w:tc>
        <w:tc>
          <w:tcPr>
            <w:tcW w:w="4723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6.3.</w:t>
            </w:r>
          </w:p>
        </w:tc>
        <w:tc>
          <w:tcPr>
            <w:tcW w:w="4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</w:p>
        </w:tc>
        <w:tc>
          <w:tcPr>
            <w:tcW w:w="4723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tabs>
                <w:tab w:val="left" w:pos="87"/>
              </w:tabs>
              <w:spacing w:after="0" w:line="240" w:lineRule="auto"/>
              <w:ind w:left="106"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4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письмо, подтверждающее, что предмет залога не ограничен в использовании, не заложен, не подарен, не обещан в дарение, не состоит в споре, под арестом</w:t>
            </w:r>
          </w:p>
        </w:tc>
        <w:tc>
          <w:tcPr>
            <w:tcW w:w="47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собственником</w:t>
            </w:r>
          </w:p>
        </w:tc>
      </w:tr>
    </w:tbl>
    <w:p w:rsidR="00D94F52" w:rsidRDefault="00D94F52" w:rsidP="00D94F52">
      <w:pPr>
        <w:spacing w:after="0" w:line="240" w:lineRule="auto"/>
        <w:rPr>
          <w:rFonts w:ascii="Times New Roman" w:hAnsi="Times New Roman" w:cs="Times New Roman"/>
        </w:rPr>
      </w:pPr>
    </w:p>
    <w:p w:rsidR="00D94F52" w:rsidRDefault="00D94F52" w:rsidP="00D94F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Документы при залоге оборудования</w:t>
      </w:r>
    </w:p>
    <w:p w:rsidR="00D94F52" w:rsidRDefault="00D94F52" w:rsidP="00D94F5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5144"/>
        <w:gridCol w:w="4709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7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содержащий сведения о технических характеристиках оборудования, серийном номере и годе выпуска</w:t>
            </w:r>
          </w:p>
        </w:tc>
        <w:tc>
          <w:tcPr>
            <w:tcW w:w="470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\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подписи и печати (при наличии).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Платежные документы, подтверждающие приобретение оборудования и возникновение права собственности на него (договор купли-продажи, товарная накладная, счет-фактура, платежное поручение, подтверждающего оплату за оборудование, иные документы) </w:t>
            </w:r>
          </w:p>
        </w:tc>
        <w:tc>
          <w:tcPr>
            <w:tcW w:w="470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 подтверждающее, что предмет залога не ограничен в использовании, не заложен, не подарен, не обещан в дарение, не состоит в споре, под арестом</w:t>
            </w:r>
          </w:p>
        </w:tc>
        <w:tc>
          <w:tcPr>
            <w:tcW w:w="47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Оригинал, подписанный собственником 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4F52" w:rsidRDefault="00D94F52" w:rsidP="00D94F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Документы при предоставлении банковской гарантии</w:t>
      </w:r>
    </w:p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5144"/>
        <w:gridCol w:w="4709"/>
      </w:tblGrid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7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D94F52" w:rsidTr="000851FC">
        <w:trPr>
          <w:trHeight w:val="1"/>
          <w:jc w:val="center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1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кредитного комитета (иного уполномоченного органа) банка о выдаче банковской гарантии или иной документ, подтверждающий намерение банка предоставить банковскую гарантию</w:t>
            </w:r>
          </w:p>
        </w:tc>
        <w:tc>
          <w:tcPr>
            <w:tcW w:w="47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</w:tbl>
    <w:p w:rsidR="00D94F52" w:rsidRDefault="00D94F52" w:rsidP="00D9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F52" w:rsidRDefault="00D94F52" w:rsidP="00D94F5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для поручительства </w:t>
      </w:r>
    </w:p>
    <w:p w:rsidR="00D94F52" w:rsidRDefault="00D94F52" w:rsidP="00D94F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Автономного учреждения «Гарантийный фонд кредитного обеспечения Республики Мордовия»</w:t>
      </w:r>
    </w:p>
    <w:p w:rsidR="00D94F52" w:rsidRDefault="00D94F52" w:rsidP="00D94F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961"/>
        <w:gridCol w:w="4961"/>
      </w:tblGrid>
      <w:tr w:rsidR="00D94F52" w:rsidTr="000851FC">
        <w:trPr>
          <w:cantSplit/>
          <w:trHeight w:val="1"/>
          <w:jc w:val="center"/>
        </w:trPr>
        <w:tc>
          <w:tcPr>
            <w:tcW w:w="421" w:type="dxa"/>
            <w:shd w:val="clear" w:color="000000" w:fill="FFFFFF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ind w:left="-4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на получение поручительства, предоставляемого Автономным учреждением «Гарантийный фонд кредитного обеспечения Республики Мордовия»</w:t>
            </w: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2-х экземплярах, по форме согласно Приложению 1 к Регламенту предоставления поручительства Автономным учреждением «Гарантийный фонд кредитного обеспечения Республики Мордовия» по договорам займа </w:t>
            </w:r>
            <w:hyperlink r:id="rId9" w:tooltip="https://www.gfkorm.ru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https://www.gfkorm.ru/</w:t>
              </w:r>
            </w:hyperlink>
          </w:p>
          <w:p w:rsidR="00D94F52" w:rsidRDefault="00D94F52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4F52" w:rsidRDefault="00D94F52" w:rsidP="00D94F52">
      <w:pPr>
        <w:rPr>
          <w:rFonts w:ascii="Times New Roman" w:eastAsia="Times New Roman" w:hAnsi="Times New Roman" w:cs="Times New Roman"/>
          <w:sz w:val="24"/>
        </w:rPr>
      </w:pPr>
    </w:p>
    <w:p w:rsidR="00D94F52" w:rsidRDefault="00D94F52" w:rsidP="00D94F52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</w:rPr>
      </w:pPr>
    </w:p>
    <w:p w:rsidR="00D94F52" w:rsidRDefault="00D94F52" w:rsidP="00D94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случае повторного обращения за займом (не позднее 6 мес.) при отсутствии изменений в документах, указанных в п.1.1-1.4, 2.1-2.5, 3.1-3.3 с момента последнего предоставления в Фонд, данные документы могут не предоставляться.</w:t>
      </w:r>
    </w:p>
    <w:p w:rsidR="009F6820" w:rsidRDefault="009F6820"/>
    <w:sectPr w:rsidR="009F6820" w:rsidSect="00D94F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52" w:rsidRDefault="00D94F52" w:rsidP="00D94F52">
      <w:pPr>
        <w:spacing w:after="0" w:line="240" w:lineRule="auto"/>
      </w:pPr>
      <w:r>
        <w:separator/>
      </w:r>
    </w:p>
  </w:endnote>
  <w:endnote w:type="continuationSeparator" w:id="0">
    <w:p w:rsidR="00D94F52" w:rsidRDefault="00D94F52" w:rsidP="00D9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52" w:rsidRDefault="00D94F52" w:rsidP="00D94F52">
      <w:pPr>
        <w:spacing w:after="0" w:line="240" w:lineRule="auto"/>
      </w:pPr>
      <w:r>
        <w:separator/>
      </w:r>
    </w:p>
  </w:footnote>
  <w:footnote w:type="continuationSeparator" w:id="0">
    <w:p w:rsidR="00D94F52" w:rsidRDefault="00D94F52" w:rsidP="00D94F52">
      <w:pPr>
        <w:spacing w:after="0" w:line="240" w:lineRule="auto"/>
      </w:pPr>
      <w:r>
        <w:continuationSeparator/>
      </w:r>
    </w:p>
  </w:footnote>
  <w:footnote w:id="1">
    <w:p w:rsidR="00D94F52" w:rsidRDefault="00D94F52" w:rsidP="00D94F52">
      <w:pPr>
        <w:pStyle w:val="a6"/>
        <w:rPr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  <w:footnote w:id="2">
    <w:p w:rsidR="00D94F52" w:rsidRDefault="00D94F52" w:rsidP="00D94F52">
      <w:pPr>
        <w:pStyle w:val="a6"/>
      </w:pPr>
      <w:r>
        <w:rPr>
          <w:rStyle w:val="a8"/>
        </w:rPr>
        <w:footnoteRef/>
      </w:r>
      <w:r>
        <w:t xml:space="preserve">   </w:t>
      </w:r>
      <w:r>
        <w:rPr>
          <w:sz w:val="16"/>
          <w:szCs w:val="16"/>
        </w:rPr>
        <w:t>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  <w:footnote w:id="3">
    <w:p w:rsidR="00D94F52" w:rsidRDefault="00D94F52" w:rsidP="00D94F52">
      <w:pPr>
        <w:pStyle w:val="a6"/>
        <w:rPr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  <w:footnote w:id="4">
    <w:p w:rsidR="00D94F52" w:rsidRDefault="00D94F52" w:rsidP="00D94F52">
      <w:pPr>
        <w:pStyle w:val="a6"/>
        <w:contextualSpacing/>
        <w:rPr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D4B17"/>
    <w:multiLevelType w:val="hybridMultilevel"/>
    <w:tmpl w:val="DD10522A"/>
    <w:lvl w:ilvl="0" w:tplc="709223C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2EBEE">
      <w:start w:val="1"/>
      <w:numFmt w:val="lowerLetter"/>
      <w:lvlText w:val="%2."/>
      <w:lvlJc w:val="left"/>
      <w:pPr>
        <w:ind w:left="1440" w:hanging="360"/>
      </w:pPr>
    </w:lvl>
    <w:lvl w:ilvl="2" w:tplc="CD38969C">
      <w:start w:val="1"/>
      <w:numFmt w:val="lowerRoman"/>
      <w:lvlText w:val="%3."/>
      <w:lvlJc w:val="right"/>
      <w:pPr>
        <w:ind w:left="2160" w:hanging="180"/>
      </w:pPr>
    </w:lvl>
    <w:lvl w:ilvl="3" w:tplc="815AFDDE">
      <w:start w:val="1"/>
      <w:numFmt w:val="decimal"/>
      <w:lvlText w:val="%4."/>
      <w:lvlJc w:val="left"/>
      <w:pPr>
        <w:ind w:left="2880" w:hanging="360"/>
      </w:pPr>
    </w:lvl>
    <w:lvl w:ilvl="4" w:tplc="F3E0871E">
      <w:start w:val="1"/>
      <w:numFmt w:val="lowerLetter"/>
      <w:lvlText w:val="%5."/>
      <w:lvlJc w:val="left"/>
      <w:pPr>
        <w:ind w:left="3600" w:hanging="360"/>
      </w:pPr>
    </w:lvl>
    <w:lvl w:ilvl="5" w:tplc="1556D704">
      <w:start w:val="1"/>
      <w:numFmt w:val="lowerRoman"/>
      <w:lvlText w:val="%6."/>
      <w:lvlJc w:val="right"/>
      <w:pPr>
        <w:ind w:left="4320" w:hanging="180"/>
      </w:pPr>
    </w:lvl>
    <w:lvl w:ilvl="6" w:tplc="31362D8E">
      <w:start w:val="1"/>
      <w:numFmt w:val="decimal"/>
      <w:lvlText w:val="%7."/>
      <w:lvlJc w:val="left"/>
      <w:pPr>
        <w:ind w:left="5040" w:hanging="360"/>
      </w:pPr>
    </w:lvl>
    <w:lvl w:ilvl="7" w:tplc="264C9D32">
      <w:start w:val="1"/>
      <w:numFmt w:val="lowerLetter"/>
      <w:lvlText w:val="%8."/>
      <w:lvlJc w:val="left"/>
      <w:pPr>
        <w:ind w:left="5760" w:hanging="360"/>
      </w:pPr>
    </w:lvl>
    <w:lvl w:ilvl="8" w:tplc="28140D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1B1A"/>
    <w:multiLevelType w:val="hybridMultilevel"/>
    <w:tmpl w:val="C1460D82"/>
    <w:lvl w:ilvl="0" w:tplc="79923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EFCDC">
      <w:start w:val="1"/>
      <w:numFmt w:val="lowerLetter"/>
      <w:lvlText w:val="%2."/>
      <w:lvlJc w:val="left"/>
      <w:pPr>
        <w:ind w:left="1440" w:hanging="360"/>
      </w:pPr>
    </w:lvl>
    <w:lvl w:ilvl="2" w:tplc="43DA66F0">
      <w:start w:val="1"/>
      <w:numFmt w:val="lowerRoman"/>
      <w:lvlText w:val="%3."/>
      <w:lvlJc w:val="right"/>
      <w:pPr>
        <w:ind w:left="2160" w:hanging="180"/>
      </w:pPr>
    </w:lvl>
    <w:lvl w:ilvl="3" w:tplc="9F5C2F6E">
      <w:start w:val="1"/>
      <w:numFmt w:val="decimal"/>
      <w:lvlText w:val="%4."/>
      <w:lvlJc w:val="left"/>
      <w:pPr>
        <w:ind w:left="2880" w:hanging="360"/>
      </w:pPr>
    </w:lvl>
    <w:lvl w:ilvl="4" w:tplc="FFA8996C">
      <w:start w:val="1"/>
      <w:numFmt w:val="lowerLetter"/>
      <w:lvlText w:val="%5."/>
      <w:lvlJc w:val="left"/>
      <w:pPr>
        <w:ind w:left="3600" w:hanging="360"/>
      </w:pPr>
    </w:lvl>
    <w:lvl w:ilvl="5" w:tplc="43F4456E">
      <w:start w:val="1"/>
      <w:numFmt w:val="lowerRoman"/>
      <w:lvlText w:val="%6."/>
      <w:lvlJc w:val="right"/>
      <w:pPr>
        <w:ind w:left="4320" w:hanging="180"/>
      </w:pPr>
    </w:lvl>
    <w:lvl w:ilvl="6" w:tplc="0958EC52">
      <w:start w:val="1"/>
      <w:numFmt w:val="decimal"/>
      <w:lvlText w:val="%7."/>
      <w:lvlJc w:val="left"/>
      <w:pPr>
        <w:ind w:left="5040" w:hanging="360"/>
      </w:pPr>
    </w:lvl>
    <w:lvl w:ilvl="7" w:tplc="8F9830EA">
      <w:start w:val="1"/>
      <w:numFmt w:val="lowerLetter"/>
      <w:lvlText w:val="%8."/>
      <w:lvlJc w:val="left"/>
      <w:pPr>
        <w:ind w:left="5760" w:hanging="360"/>
      </w:pPr>
    </w:lvl>
    <w:lvl w:ilvl="8" w:tplc="E4D8CC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C7133"/>
    <w:multiLevelType w:val="hybridMultilevel"/>
    <w:tmpl w:val="249847D6"/>
    <w:lvl w:ilvl="0" w:tplc="2B9207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1C5128">
      <w:start w:val="1"/>
      <w:numFmt w:val="lowerLetter"/>
      <w:lvlText w:val="%2."/>
      <w:lvlJc w:val="left"/>
      <w:pPr>
        <w:ind w:left="1800" w:hanging="360"/>
      </w:pPr>
    </w:lvl>
    <w:lvl w:ilvl="2" w:tplc="F6248928">
      <w:start w:val="1"/>
      <w:numFmt w:val="lowerRoman"/>
      <w:lvlText w:val="%3."/>
      <w:lvlJc w:val="right"/>
      <w:pPr>
        <w:ind w:left="2520" w:hanging="180"/>
      </w:pPr>
    </w:lvl>
    <w:lvl w:ilvl="3" w:tplc="659EE64A">
      <w:start w:val="1"/>
      <w:numFmt w:val="decimal"/>
      <w:lvlText w:val="%4."/>
      <w:lvlJc w:val="left"/>
      <w:pPr>
        <w:ind w:left="3240" w:hanging="360"/>
      </w:pPr>
    </w:lvl>
    <w:lvl w:ilvl="4" w:tplc="6646E0F0">
      <w:start w:val="1"/>
      <w:numFmt w:val="lowerLetter"/>
      <w:lvlText w:val="%5."/>
      <w:lvlJc w:val="left"/>
      <w:pPr>
        <w:ind w:left="3960" w:hanging="360"/>
      </w:pPr>
    </w:lvl>
    <w:lvl w:ilvl="5" w:tplc="0ACECD0A">
      <w:start w:val="1"/>
      <w:numFmt w:val="lowerRoman"/>
      <w:lvlText w:val="%6."/>
      <w:lvlJc w:val="right"/>
      <w:pPr>
        <w:ind w:left="4680" w:hanging="180"/>
      </w:pPr>
    </w:lvl>
    <w:lvl w:ilvl="6" w:tplc="73D05FC0">
      <w:start w:val="1"/>
      <w:numFmt w:val="decimal"/>
      <w:lvlText w:val="%7."/>
      <w:lvlJc w:val="left"/>
      <w:pPr>
        <w:ind w:left="5400" w:hanging="360"/>
      </w:pPr>
    </w:lvl>
    <w:lvl w:ilvl="7" w:tplc="DE96DA40">
      <w:start w:val="1"/>
      <w:numFmt w:val="lowerLetter"/>
      <w:lvlText w:val="%8."/>
      <w:lvlJc w:val="left"/>
      <w:pPr>
        <w:ind w:left="6120" w:hanging="360"/>
      </w:pPr>
    </w:lvl>
    <w:lvl w:ilvl="8" w:tplc="59D6F19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52"/>
    <w:rsid w:val="009F6820"/>
    <w:rsid w:val="00D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EA95A-793D-486D-A787-761FB18A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94F52"/>
    <w:pPr>
      <w:ind w:left="720"/>
      <w:contextualSpacing/>
    </w:pPr>
  </w:style>
  <w:style w:type="character" w:customStyle="1" w:styleId="a4">
    <w:name w:val="Абзац списка Знак"/>
    <w:link w:val="a3"/>
    <w:rsid w:val="00D94F52"/>
  </w:style>
  <w:style w:type="character" w:styleId="a5">
    <w:name w:val="Hyperlink"/>
    <w:basedOn w:val="a0"/>
    <w:uiPriority w:val="99"/>
    <w:unhideWhenUsed/>
    <w:rsid w:val="00D94F52"/>
    <w:rPr>
      <w:color w:val="0563C1" w:themeColor="hyperlink"/>
      <w:u w:val="single"/>
    </w:rPr>
  </w:style>
  <w:style w:type="paragraph" w:styleId="a6">
    <w:name w:val="footnote text"/>
    <w:basedOn w:val="a"/>
    <w:link w:val="a7"/>
    <w:rsid w:val="00D9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D94F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94F52"/>
    <w:rPr>
      <w:vertAlign w:val="superscript"/>
    </w:rPr>
  </w:style>
  <w:style w:type="character" w:customStyle="1" w:styleId="markedcontent">
    <w:name w:val="markedcontent"/>
    <w:basedOn w:val="a0"/>
    <w:rsid w:val="00D9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in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in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fk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2026-01-15T07:11:00Z</dcterms:created>
  <dcterms:modified xsi:type="dcterms:W3CDTF">2026-01-15T07:11:00Z</dcterms:modified>
</cp:coreProperties>
</file>